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90D25" w:rsidRDefault="00C4174E">
      <w:pPr>
        <w:pStyle w:val="Corpsdetexte"/>
        <w:tabs>
          <w:tab w:val="left" w:pos="2400"/>
        </w:tabs>
        <w:spacing w:after="60"/>
        <w:rPr>
          <w:smallCaps/>
          <w:lang w:val="fr-FR" w:eastAsia="fr-FR"/>
        </w:rPr>
      </w:pPr>
      <w:bookmarkStart w:id="0" w:name="_GoBack"/>
      <w:bookmarkEnd w:id="0"/>
      <w:r>
        <w:rPr>
          <w:noProof/>
          <w:lang w:eastAsia="fr-FR" w:bidi="ar-SA"/>
        </w:rPr>
        <w:drawing>
          <wp:anchor distT="0" distB="0" distL="114935" distR="114935" simplePos="0" relativeHeight="251657728" behindDoc="0" locked="0" layoutInCell="1" allowOverlap="1">
            <wp:simplePos x="0" y="0"/>
            <wp:positionH relativeFrom="column">
              <wp:posOffset>1870710</wp:posOffset>
            </wp:positionH>
            <wp:positionV relativeFrom="paragraph">
              <wp:posOffset>-558165</wp:posOffset>
            </wp:positionV>
            <wp:extent cx="2027555" cy="101790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7555" cy="10179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D90D25" w:rsidRDefault="00D90D25">
      <w:pPr>
        <w:pStyle w:val="Corpsdetexte"/>
      </w:pPr>
    </w:p>
    <w:p w:rsidR="00D90D25" w:rsidRDefault="00D90D25">
      <w:pPr>
        <w:pStyle w:val="Corpsdetexte"/>
      </w:pPr>
    </w:p>
    <w:p w:rsidR="00D90D25" w:rsidRDefault="00C4174E">
      <w:pPr>
        <w:pStyle w:val="Corpsdetexte"/>
        <w:ind w:left="6803"/>
        <w:rPr>
          <w:lang w:val="fr-FR" w:eastAsia="fr-FR" w:bidi="ar-SA"/>
        </w:rPr>
      </w:pPr>
      <w:r>
        <w:rPr>
          <w:noProof/>
          <w:lang w:eastAsia="fr-FR" w:bidi="ar-SA"/>
        </w:rPr>
        <mc:AlternateContent>
          <mc:Choice Requires="wps">
            <w:drawing>
              <wp:anchor distT="0" distB="0" distL="114935" distR="114935" simplePos="0" relativeHeight="251656704" behindDoc="0" locked="0" layoutInCell="1" allowOverlap="1">
                <wp:simplePos x="0" y="0"/>
                <wp:positionH relativeFrom="column">
                  <wp:posOffset>946785</wp:posOffset>
                </wp:positionH>
                <wp:positionV relativeFrom="paragraph">
                  <wp:posOffset>61595</wp:posOffset>
                </wp:positionV>
                <wp:extent cx="4151630" cy="294005"/>
                <wp:effectExtent l="9525" t="12065" r="1079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1630" cy="294005"/>
                        </a:xfrm>
                        <a:prstGeom prst="rect">
                          <a:avLst/>
                        </a:prstGeom>
                        <a:solidFill>
                          <a:srgbClr val="FFFFFF"/>
                        </a:solidFill>
                        <a:ln w="9525">
                          <a:solidFill>
                            <a:srgbClr val="000000"/>
                          </a:solidFill>
                          <a:miter lim="800000"/>
                          <a:headEnd/>
                          <a:tailEnd/>
                        </a:ln>
                      </wps:spPr>
                      <wps:txbx>
                        <w:txbxContent>
                          <w:p w:rsidR="00D90D25" w:rsidRDefault="00D90D25">
                            <w:pPr>
                              <w:jc w:val="center"/>
                            </w:pPr>
                            <w:r>
                              <w:t>FORMULAIRE POUR BENEFICIER D’UN DON DE JOURS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4.55pt;margin-top:4.85pt;width:326.9pt;height:23.1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Y9KQIAAFAEAAAOAAAAZHJzL2Uyb0RvYy54bWysVNtu2zAMfR+wfxD0vviypGuMOEWXLsOA&#10;7gK0+wBZlm1hsqhJSuzs60fJbpbdXob5QSBF6pA8JL25GXtFjsI6Cbqk2SKlRGgOtdRtST8/7l9c&#10;U+I80zVToEVJT8LRm+3zZ5vBFCKHDlQtLEEQ7YrBlLTz3hRJ4ngneuYWYIRGYwO2Zx5V2ya1ZQOi&#10;9yrJ0/QqGcDWxgIXzuHt3WSk24jfNIL7j03jhCeqpJibj6eNZxXOZLthRWuZ6SSf02D/kEXPpMag&#10;Z6g75hk5WPkbVC+5BQeNX3DoE2gayUWsAavJ0l+qeeiYEbEWJMeZM03u/8HyD8dPlsi6pDklmvXY&#10;okcxevIaRpIHdgbjCnR6MOjmR7zGLsdKnbkH/sURDbuO6VbcWgtDJ1iN2WXhZXLxdMJxAaQa3kON&#10;YdjBQwQaG9sH6pAMgujYpdO5MyEVjpfLbJVdvUQTR1u+XqbpKoZgxdNrY51/K6AnQSipxc5HdHa8&#10;dz5kw4onlxDMgZL1XioVFdtWO2XJkeGU7OM3o//kpjQZSrpe5auJgL9CpPH7E0QvPY67kn1Jr89O&#10;rAi0vdF1HEbPpJpkTFnpmcdA3USiH6tx7ksF9QkZtTCNNa4hCh3Yb5QMONIldV8PzApK1DuNXVln&#10;y2XYgagsV69yVOylpbq0MM0RqqSekknc+WlvDsbKtsNI0xxouMVONjKSHFo+ZTXnjWMbuZ9XLOzF&#10;pR69fvwItt8BAAD//wMAUEsDBBQABgAIAAAAIQD6WYTy3gAAAAgBAAAPAAAAZHJzL2Rvd25yZXYu&#10;eG1sTI/BTsMwEETvSPyDtUhcELVbSpqEOBVCAsEN2gqubuwmEfY62G4a/p7lBMfRjGbeVOvJWTaa&#10;EHuPEuYzAcxg43WPrYTd9vE6BxaTQq2sRyPh20RY1+dnlSq1P+GbGTepZVSCsVQSupSGkvPYdMap&#10;OPODQfIOPjiVSIaW66BOVO4sXwiRcad6pIVODeahM83n5ugk5Mvn8SO+3Ly+N9nBFulqNT59BSkv&#10;L6b7O2DJTOkvDL/4hA41Me39EXVklvSymFNUQrECRn4uFgWwvYTbTACvK/7/QP0DAAD//wMAUEsB&#10;Ai0AFAAGAAgAAAAhALaDOJL+AAAA4QEAABMAAAAAAAAAAAAAAAAAAAAAAFtDb250ZW50X1R5cGVz&#10;XS54bWxQSwECLQAUAAYACAAAACEAOP0h/9YAAACUAQAACwAAAAAAAAAAAAAAAAAvAQAAX3JlbHMv&#10;LnJlbHNQSwECLQAUAAYACAAAACEAFr5mPSkCAABQBAAADgAAAAAAAAAAAAAAAAAuAgAAZHJzL2Uy&#10;b0RvYy54bWxQSwECLQAUAAYACAAAACEA+lmE8t4AAAAIAQAADwAAAAAAAAAAAAAAAACDBAAAZHJz&#10;L2Rvd25yZXYueG1sUEsFBgAAAAAEAAQA8wAAAI4FAAAAAA==&#10;">
                <v:textbox>
                  <w:txbxContent>
                    <w:p w:rsidR="00D90D25" w:rsidRDefault="00D90D25">
                      <w:pPr>
                        <w:jc w:val="center"/>
                      </w:pPr>
                      <w:r>
                        <w:t>FORMULAIRE POUR BENEFICIER D’UN DON DE JOURS</w:t>
                      </w:r>
                    </w:p>
                  </w:txbxContent>
                </v:textbox>
              </v:shape>
            </w:pict>
          </mc:Fallback>
        </mc:AlternateContent>
      </w:r>
    </w:p>
    <w:p w:rsidR="00D90D25" w:rsidRDefault="00D90D25">
      <w:pPr>
        <w:pStyle w:val="Corpsdetexte"/>
        <w:ind w:left="6803"/>
      </w:pPr>
    </w:p>
    <w:p w:rsidR="00D90D25" w:rsidRDefault="00D90D25">
      <w:pPr>
        <w:rPr>
          <w:i/>
          <w:sz w:val="18"/>
          <w:szCs w:val="18"/>
        </w:rPr>
      </w:pPr>
      <w:r>
        <w:rPr>
          <w:i/>
          <w:sz w:val="18"/>
          <w:szCs w:val="18"/>
        </w:rPr>
        <w:t xml:space="preserve">Cf. le décret n° 2015-580 du </w:t>
      </w:r>
      <w:r>
        <w:rPr>
          <w:bCs/>
          <w:i/>
          <w:sz w:val="18"/>
          <w:szCs w:val="18"/>
        </w:rPr>
        <w:t>28 mai 2015 permettant à un agent public civil le don de jours de repos à un autre agent public parent d’un enfant gravement malade ;</w:t>
      </w:r>
    </w:p>
    <w:p w:rsidR="00D90D25" w:rsidRDefault="00D90D25">
      <w:pPr>
        <w:rPr>
          <w:bCs/>
          <w:i/>
          <w:sz w:val="18"/>
          <w:szCs w:val="18"/>
        </w:rPr>
      </w:pPr>
      <w:r>
        <w:rPr>
          <w:i/>
          <w:sz w:val="18"/>
          <w:szCs w:val="18"/>
        </w:rPr>
        <w:t xml:space="preserve">-le décret n° 2015-573 du </w:t>
      </w:r>
      <w:r>
        <w:rPr>
          <w:bCs/>
          <w:i/>
          <w:sz w:val="18"/>
          <w:szCs w:val="18"/>
        </w:rPr>
        <w:t xml:space="preserve">28 mai 2015 permettant à un militaire le don de jours de repos à un autre agent public parent d’un enfant gravement malade </w:t>
      </w:r>
    </w:p>
    <w:p w:rsidR="00D90D25" w:rsidRDefault="00D90D25">
      <w:pPr>
        <w:rPr>
          <w:bCs/>
          <w:i/>
          <w:sz w:val="18"/>
          <w:szCs w:val="18"/>
        </w:rPr>
      </w:pPr>
      <w:r>
        <w:rPr>
          <w:bCs/>
          <w:i/>
          <w:sz w:val="18"/>
          <w:szCs w:val="18"/>
        </w:rPr>
        <w:t>- l’arrêté du […] relatif à la gestion du don de jours de repos et de permissions au ministère de l’intérieur et</w:t>
      </w:r>
    </w:p>
    <w:p w:rsidR="00D90D25" w:rsidRDefault="00D90D25">
      <w:r>
        <w:rPr>
          <w:bCs/>
          <w:i/>
          <w:sz w:val="18"/>
          <w:szCs w:val="18"/>
        </w:rPr>
        <w:t>- la circulaire du […] du ministère de l’intérieur relative aux modalités de mise en œuvre du don de jours de repos et de permissions au ministère de l’intérieur.</w:t>
      </w:r>
    </w:p>
    <w:p w:rsidR="00D90D25" w:rsidRDefault="00D90D25"/>
    <w:p w:rsidR="00D90D25" w:rsidRDefault="00D90D25">
      <w:r>
        <w:t xml:space="preserve">Je </w:t>
      </w:r>
      <w:proofErr w:type="gramStart"/>
      <w:r>
        <w:t>soussigné(</w:t>
      </w:r>
      <w:proofErr w:type="gramEnd"/>
      <w:r>
        <w:t>e),………………………………………………………………………………………...</w:t>
      </w:r>
    </w:p>
    <w:p w:rsidR="00D90D25" w:rsidRDefault="00D90D25"/>
    <w:tbl>
      <w:tblPr>
        <w:tblW w:w="0" w:type="auto"/>
        <w:tblInd w:w="-10" w:type="dxa"/>
        <w:tblLayout w:type="fixed"/>
        <w:tblLook w:val="0000" w:firstRow="0" w:lastRow="0" w:firstColumn="0" w:lastColumn="0" w:noHBand="0" w:noVBand="0"/>
      </w:tblPr>
      <w:tblGrid>
        <w:gridCol w:w="9798"/>
      </w:tblGrid>
      <w:tr w:rsidR="00D90D25">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D90D25" w:rsidRDefault="00D90D25">
            <w:r>
              <w:t>Direction/Service déconcentré/Formation administrative :</w:t>
            </w:r>
          </w:p>
          <w:p w:rsidR="00D90D25" w:rsidRDefault="00D90D25"/>
          <w:p w:rsidR="00D90D25" w:rsidRDefault="00D90D25">
            <w:r>
              <w:t>Service :</w:t>
            </w:r>
          </w:p>
          <w:p w:rsidR="00D90D25" w:rsidRDefault="00D90D25"/>
        </w:tc>
      </w:tr>
      <w:tr w:rsidR="00D90D25">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D90D25" w:rsidRDefault="00D90D25">
            <w:r>
              <w:t>Corps :</w:t>
            </w:r>
          </w:p>
          <w:p w:rsidR="00D90D25" w:rsidRDefault="00D90D25"/>
          <w:p w:rsidR="00D90D25" w:rsidRDefault="00D90D25">
            <w:r>
              <w:t>Grade :</w:t>
            </w:r>
          </w:p>
          <w:p w:rsidR="00D90D25" w:rsidRDefault="00D90D25"/>
          <w:p w:rsidR="00D90D25" w:rsidRDefault="00D90D25">
            <w:r>
              <w:t>Matricule</w:t>
            </w:r>
            <w:r w:rsidRPr="00B03225">
              <w:t>/NIGEND :</w:t>
            </w:r>
          </w:p>
        </w:tc>
      </w:tr>
    </w:tbl>
    <w:p w:rsidR="00D90D25" w:rsidRDefault="00D90D25"/>
    <w:p w:rsidR="00D90D25" w:rsidRDefault="00D90D25"/>
    <w:tbl>
      <w:tblPr>
        <w:tblW w:w="0" w:type="auto"/>
        <w:tblInd w:w="-10" w:type="dxa"/>
        <w:tblLayout w:type="fixed"/>
        <w:tblLook w:val="0000" w:firstRow="0" w:lastRow="0" w:firstColumn="0" w:lastColumn="0" w:noHBand="0" w:noVBand="0"/>
      </w:tblPr>
      <w:tblGrid>
        <w:gridCol w:w="9798"/>
      </w:tblGrid>
      <w:tr w:rsidR="00D90D25">
        <w:trPr>
          <w:trHeight w:val="1114"/>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D90D25" w:rsidRDefault="00C4174E">
            <w:pPr>
              <w:snapToGrid w:val="0"/>
              <w:jc w:val="both"/>
              <w:rPr>
                <w:lang w:val="fr-FR" w:eastAsia="fr-FR" w:bidi="ar-SA"/>
              </w:rPr>
            </w:pPr>
            <w:r>
              <w:rPr>
                <w:noProof/>
                <w:lang w:eastAsia="fr-FR" w:bidi="ar-SA"/>
              </w:rPr>
              <mc:AlternateContent>
                <mc:Choice Requires="wps">
                  <w:drawing>
                    <wp:anchor distT="0" distB="0" distL="114300" distR="114300" simplePos="0" relativeHeight="251658752" behindDoc="0" locked="0" layoutInCell="1" allowOverlap="1">
                      <wp:simplePos x="0" y="0"/>
                      <wp:positionH relativeFrom="column">
                        <wp:posOffset>1156335</wp:posOffset>
                      </wp:positionH>
                      <wp:positionV relativeFrom="paragraph">
                        <wp:posOffset>33020</wp:posOffset>
                      </wp:positionV>
                      <wp:extent cx="485775" cy="313690"/>
                      <wp:effectExtent l="12700" t="8255" r="6350"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1369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6C7CD" id="_x0000_t109" coordsize="21600,21600" o:spt="109" path="m,l,21600r21600,l21600,xe">
                      <v:stroke joinstyle="miter"/>
                      <v:path gradientshapeok="t" o:connecttype="rect"/>
                    </v:shapetype>
                    <v:shape id="AutoShape 4" o:spid="_x0000_s1026" type="#_x0000_t109" style="position:absolute;margin-left:91.05pt;margin-top:2.6pt;width:38.25pt;height:24.7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AwgIAAJ4FAAAOAAAAZHJzL2Uyb0RvYy54bWysVF2P0zAQfEfiP1h+7yVp06/o0lOv1yKk&#10;A046EM9u7DQWjh1st+mB+O+sN23ocTwgRCtF3ngzntkd7/XNsVbkIKyTRuc0uYopEbowXOpdTj99&#10;3AxmlDjPNGfKaJHTJ+HozeL1q+u2ycTQVEZxYQmAaJe1TU4r75ssilxRiZq5K9MIDZulsTXzENpd&#10;xC1rAb1W0TCOJ1FrLG+sKYRz8Pau26QLxC9LUfgPZemEJyqnwM3j0+JzG57R4pplO8uaShYnGuwf&#10;WNRMaji0h7pjnpG9lS+gallY40zprwpTR6YsZSFQA6hJ4t/UPFasEagFiuOavkzu/8EW7w8PlkgO&#10;vaNEsxpatNx7gyeTNJSnbVwGWY/Ngw0CXXNvii+OaLOqmN6JpbWmrQTjQCoJ+dGzD0Lg4FOybd8Z&#10;DugM0LFSx9LWARBqQI7YkKe+IeLoSQEv09l4Oh1TUsDWKBlN5tiwiGXnjxvr/BthahIWOS2VaYGW&#10;9Q+dI/Agdrh3PhBj2TkdhRgl+UYqhYHdbVfKkgMDn2zwh1pA72Wa0qTN6Xw0ASsVDOzqvuIRz5Lc&#10;JVaMvz9h1dKD85Wsczrrk1gWSrnWHH3pmVTdGrgrHYgK9HQnCKKjhyW+h4qh374vN+N4mo5mA6jc&#10;aJCO1vHgdrZZDZarZDKZrm9Xt+vkR2CdpFklORd6jZjubP8k/Tt7nS5iZ9z+AvQEAyuzB42PFW8J&#10;l6E/o/F8CD7jEm7gcNqpJkztYHQU3lJijf8sfYXuC2YIGM/KOYvD/1TOHh17e3Fw9EJbl3GEUkEl&#10;z1VDpwZzdibfGv4ERgUO6EYYarCojP1GSQsDIqcaJhgl6q0Gq8+TNA3zBIN0PB1CYC93tpc7TBcA&#10;dBLZBSvfTaF9Y+WugpMSVKtNuH6lRMOGy9OxAt4hgCGACk4DK0yZyxizfo3VxU8AAAD//wMAUEsD&#10;BBQABgAIAAAAIQAwiyDx3QAAAAgBAAAPAAAAZHJzL2Rvd25yZXYueG1sTI9BS8QwEIXvgv8hjOBF&#10;3LTVLbU2XUTYm6JWEfaWbca22Exqkt3Wf+940uPHe7z5ptosdhRH9GFwpCBdJSCQWmcG6hS8vW4v&#10;CxAhajJ6dIQKvjHApj49qXRp3EwveGxiJ3iEQqkV9DFOpZSh7dHqsHITEmcfzlsdGX0njdczj9tR&#10;ZkmSS6sH4gu9nvC+x/azOVgF/lHu5pvka+cvrtKn5n3b4UP/rNT52XJ3CyLiEv/K8KvP6lCz094d&#10;yAQxMhdZylUF6wwE59m6yEHsma9zkHUl/z9Q/wAAAP//AwBQSwECLQAUAAYACAAAACEAtoM4kv4A&#10;AADhAQAAEwAAAAAAAAAAAAAAAAAAAAAAW0NvbnRlbnRfVHlwZXNdLnhtbFBLAQItABQABgAIAAAA&#10;IQA4/SH/1gAAAJQBAAALAAAAAAAAAAAAAAAAAC8BAABfcmVscy8ucmVsc1BLAQItABQABgAIAAAA&#10;IQA/DTtAwgIAAJ4FAAAOAAAAAAAAAAAAAAAAAC4CAABkcnMvZTJvRG9jLnhtbFBLAQItABQABgAI&#10;AAAAIQAwiyDx3QAAAAgBAAAPAAAAAAAAAAAAAAAAABwFAABkcnMvZG93bnJldi54bWxQSwUGAAAA&#10;AAQABADzAAAAJgYAAAAA&#10;" strokeweight=".26mm">
                      <v:stroke endcap="square"/>
                    </v:shape>
                  </w:pict>
                </mc:Fallback>
              </mc:AlternateContent>
            </w:r>
          </w:p>
          <w:p w:rsidR="00D90D25" w:rsidRDefault="00D90D25" w:rsidP="009E5D85">
            <w:pPr>
              <w:spacing w:line="276" w:lineRule="auto"/>
              <w:jc w:val="both"/>
            </w:pPr>
            <w:r>
              <w:t>Souhaite recevoir                 jours pour l’année</w:t>
            </w:r>
            <w:r w:rsidR="009E5D85">
              <w:t> :</w:t>
            </w:r>
          </w:p>
        </w:tc>
      </w:tr>
    </w:tbl>
    <w:p w:rsidR="00D90D25" w:rsidRDefault="00D90D25"/>
    <w:p w:rsidR="00D90D25" w:rsidRDefault="00D90D25"/>
    <w:tbl>
      <w:tblPr>
        <w:tblW w:w="0" w:type="auto"/>
        <w:tblInd w:w="-10" w:type="dxa"/>
        <w:tblLayout w:type="fixed"/>
        <w:tblLook w:val="0000" w:firstRow="0" w:lastRow="0" w:firstColumn="0" w:lastColumn="0" w:noHBand="0" w:noVBand="0"/>
      </w:tblPr>
      <w:tblGrid>
        <w:gridCol w:w="9798"/>
      </w:tblGrid>
      <w:tr w:rsidR="00D90D25">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D90D25" w:rsidRDefault="00D90D25">
            <w:pPr>
              <w:snapToGrid w:val="0"/>
            </w:pPr>
          </w:p>
          <w:p w:rsidR="00D90D25" w:rsidRDefault="00D90D25">
            <w:pPr>
              <w:autoSpaceDE w:val="0"/>
              <w:jc w:val="both"/>
            </w:pPr>
            <w:r>
              <w:t>Rappel : joindre</w:t>
            </w:r>
            <w:r>
              <w:rPr>
                <w:rFonts w:ascii="Arial" w:hAnsi="Arial" w:cs="Arial"/>
              </w:rPr>
              <w:t xml:space="preserve"> </w:t>
            </w:r>
            <w:r>
              <w:rPr>
                <w:rFonts w:cs="Times New Roman"/>
              </w:rPr>
              <w:t>un certificat médical détaillé remis sous pli confidentiel établi par le médecin qui suit l’enfant attestant de la maladie, du handicap ou de l’accident de l’enfant présentant le caractère d’une particulière gravité ainsi que le caractère particulièrement grave de la pathologie considérée devant rendre indispensables une présence soutenue des parents et des soins contraignants. Il doit également indiquer la durée prévisible du traitement de l’enfant.</w:t>
            </w:r>
          </w:p>
          <w:p w:rsidR="00D90D25" w:rsidRDefault="00D90D25">
            <w:pPr>
              <w:autoSpaceDE w:val="0"/>
              <w:jc w:val="both"/>
            </w:pPr>
          </w:p>
        </w:tc>
      </w:tr>
    </w:tbl>
    <w:p w:rsidR="00D90D25" w:rsidRDefault="00D90D25"/>
    <w:tbl>
      <w:tblPr>
        <w:tblW w:w="0" w:type="auto"/>
        <w:tblInd w:w="-10" w:type="dxa"/>
        <w:tblLayout w:type="fixed"/>
        <w:tblLook w:val="0000" w:firstRow="0" w:lastRow="0" w:firstColumn="0" w:lastColumn="0" w:noHBand="0" w:noVBand="0"/>
      </w:tblPr>
      <w:tblGrid>
        <w:gridCol w:w="9798"/>
      </w:tblGrid>
      <w:tr w:rsidR="00D90D25">
        <w:trPr>
          <w:trHeight w:val="1248"/>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D90D25" w:rsidRDefault="00D90D25">
            <w:pPr>
              <w:snapToGrid w:val="0"/>
            </w:pPr>
          </w:p>
          <w:p w:rsidR="00D90D25" w:rsidRDefault="00D90D25">
            <w:r>
              <w:t>Fait à :                                                                                      Le :</w:t>
            </w:r>
          </w:p>
          <w:p w:rsidR="00D90D25" w:rsidRDefault="00D90D25"/>
          <w:p w:rsidR="00D90D25" w:rsidRDefault="00D90D25">
            <w:r>
              <w:t>Signature de l’agent :</w:t>
            </w:r>
          </w:p>
          <w:p w:rsidR="00D90D25" w:rsidRDefault="00D90D25"/>
        </w:tc>
      </w:tr>
      <w:tr w:rsidR="00D90D25">
        <w:trPr>
          <w:trHeight w:val="1771"/>
        </w:trPr>
        <w:tc>
          <w:tcPr>
            <w:tcW w:w="9798" w:type="dxa"/>
            <w:tcBorders>
              <w:top w:val="single" w:sz="4" w:space="0" w:color="000000"/>
              <w:left w:val="single" w:sz="4" w:space="0" w:color="000000"/>
              <w:bottom w:val="single" w:sz="4" w:space="0" w:color="000000"/>
              <w:right w:val="single" w:sz="4" w:space="0" w:color="000000"/>
            </w:tcBorders>
            <w:shd w:val="clear" w:color="auto" w:fill="auto"/>
          </w:tcPr>
          <w:p w:rsidR="00D90D25" w:rsidRDefault="00D90D25">
            <w:pPr>
              <w:jc w:val="both"/>
              <w:rPr>
                <w:rFonts w:cs="Times New Roman"/>
              </w:rPr>
            </w:pPr>
            <w:r>
              <w:rPr>
                <w:rFonts w:cs="Times New Roman"/>
              </w:rPr>
              <w:t>Visa du supérieur hiérarchique direct :</w:t>
            </w:r>
          </w:p>
          <w:p w:rsidR="00D90D25" w:rsidRDefault="00D90D25">
            <w:pPr>
              <w:rPr>
                <w:rFonts w:cs="Times New Roman"/>
              </w:rPr>
            </w:pPr>
          </w:p>
          <w:p w:rsidR="00D90D25" w:rsidRDefault="00D90D25">
            <w:pPr>
              <w:rPr>
                <w:rFonts w:eastAsia="Times New Roman" w:cs="Times New Roman"/>
              </w:rPr>
            </w:pPr>
            <w:r>
              <w:t xml:space="preserve">Fait à :  </w:t>
            </w:r>
          </w:p>
          <w:p w:rsidR="00D90D25" w:rsidRDefault="00D90D25">
            <w:r>
              <w:rPr>
                <w:rFonts w:eastAsia="Times New Roman" w:cs="Times New Roman"/>
              </w:rPr>
              <w:t xml:space="preserve">                                                                                                    </w:t>
            </w:r>
            <w:r>
              <w:t>Le :</w:t>
            </w:r>
          </w:p>
          <w:p w:rsidR="00D90D25" w:rsidRDefault="00D90D25">
            <w:r>
              <w:t>Signature :</w:t>
            </w:r>
          </w:p>
        </w:tc>
      </w:tr>
    </w:tbl>
    <w:p w:rsidR="00D90D25" w:rsidRDefault="00D90D25">
      <w:pPr>
        <w:pBdr>
          <w:top w:val="single" w:sz="4" w:space="1" w:color="000000"/>
          <w:left w:val="single" w:sz="4" w:space="4" w:color="000000"/>
          <w:bottom w:val="single" w:sz="4" w:space="1" w:color="000000"/>
          <w:right w:val="single" w:sz="4" w:space="4" w:color="000000"/>
        </w:pBdr>
        <w:jc w:val="center"/>
        <w:rPr>
          <w:caps/>
        </w:rPr>
      </w:pPr>
    </w:p>
    <w:p w:rsidR="00D90D25" w:rsidRDefault="00D90D25">
      <w:pPr>
        <w:pBdr>
          <w:top w:val="single" w:sz="4" w:space="1" w:color="000000"/>
          <w:left w:val="single" w:sz="4" w:space="4" w:color="000000"/>
          <w:bottom w:val="single" w:sz="4" w:space="1" w:color="000000"/>
          <w:right w:val="single" w:sz="4" w:space="4" w:color="000000"/>
        </w:pBdr>
        <w:jc w:val="center"/>
        <w:rPr>
          <w:caps/>
        </w:rPr>
      </w:pPr>
      <w:r>
        <w:rPr>
          <w:caps/>
        </w:rPr>
        <w:t>Fiche d’information à transmettre au médecin qui suit l’enfant malade</w:t>
      </w:r>
    </w:p>
    <w:p w:rsidR="00D90D25" w:rsidRDefault="00D90D25">
      <w:pPr>
        <w:pBdr>
          <w:top w:val="single" w:sz="4" w:space="1" w:color="000000"/>
          <w:left w:val="single" w:sz="4" w:space="4" w:color="000000"/>
          <w:bottom w:val="single" w:sz="4" w:space="1" w:color="000000"/>
          <w:right w:val="single" w:sz="4" w:space="4" w:color="000000"/>
        </w:pBdr>
        <w:jc w:val="center"/>
        <w:rPr>
          <w:caps/>
        </w:rPr>
      </w:pPr>
    </w:p>
    <w:p w:rsidR="00D90D25" w:rsidRDefault="00D90D25">
      <w:pPr>
        <w:rPr>
          <w:caps/>
        </w:rPr>
      </w:pPr>
    </w:p>
    <w:p w:rsidR="00D90D25" w:rsidRDefault="00D90D25">
      <w:pPr>
        <w:spacing w:before="160" w:line="276" w:lineRule="auto"/>
        <w:jc w:val="both"/>
        <w:rPr>
          <w:rFonts w:cs="Times New Roman"/>
        </w:rPr>
      </w:pPr>
      <w:r>
        <w:rPr>
          <w:rFonts w:cs="Times New Roman"/>
        </w:rPr>
        <w:t xml:space="preserve">Dans le cadre de la loi </w:t>
      </w:r>
      <w:r>
        <w:rPr>
          <w:rFonts w:cs="Times New Roman"/>
          <w:bCs/>
        </w:rPr>
        <w:t xml:space="preserve">n° 2014-459 du 9 mai 2014 permettant le don de jours de repos à un parent d'un enfant gravement malade, les décrets du 28 mai 2015 </w:t>
      </w:r>
      <w:r>
        <w:rPr>
          <w:rFonts w:cs="Times New Roman"/>
        </w:rPr>
        <w:t xml:space="preserve">ont posé, dans la fonction publique, le principe du renoncement de jours de repos et de permissions de la part d’un agent public ou d’un militaire au bénéfice d’un autre agent public relevant du même employeur ou d’un autre militaire dès lors que ce dernier assume la charge d’un enfant âgé de moins de vingt ans atteint d’une maladie, d’un handicap ou victime d’un accident, d’une particulière gravité rendant indispensables une présence soutenue et des soins contraignants. </w:t>
      </w:r>
    </w:p>
    <w:p w:rsidR="00D90D25" w:rsidRDefault="00D90D25">
      <w:pPr>
        <w:spacing w:before="160" w:line="276" w:lineRule="auto"/>
        <w:jc w:val="both"/>
        <w:rPr>
          <w:rFonts w:cs="Times New Roman"/>
        </w:rPr>
      </w:pPr>
      <w:r>
        <w:rPr>
          <w:rFonts w:cs="Times New Roman"/>
        </w:rPr>
        <w:t xml:space="preserve">L’agent demandeur d’un don de jours doit transmettre, outre le formulaire de demande de jours de repos, un </w:t>
      </w:r>
      <w:r>
        <w:rPr>
          <w:rFonts w:cs="Times New Roman"/>
          <w:b/>
        </w:rPr>
        <w:t>certificat médical détaillé remis sous pli confidentiel établi par le médecin</w:t>
      </w:r>
      <w:r>
        <w:rPr>
          <w:rFonts w:cs="Times New Roman"/>
        </w:rPr>
        <w:t xml:space="preserve"> </w:t>
      </w:r>
      <w:r>
        <w:rPr>
          <w:rFonts w:cs="Times New Roman"/>
          <w:b/>
        </w:rPr>
        <w:t>qui suit l’enfant</w:t>
      </w:r>
      <w:r>
        <w:rPr>
          <w:rFonts w:cs="Times New Roman"/>
        </w:rPr>
        <w:t xml:space="preserve"> au président du comité médical ministériel ou, en son absence, au secrétaire du comité médical.</w:t>
      </w:r>
      <w:r w:rsidR="007C2094">
        <w:rPr>
          <w:rFonts w:cs="Times New Roman"/>
        </w:rPr>
        <w:t xml:space="preserve"> Le militaire bénéficiaire d’un don transmet directement le certificat médical à son CFA.</w:t>
      </w:r>
    </w:p>
    <w:p w:rsidR="00D90D25" w:rsidRDefault="00D90D25">
      <w:pPr>
        <w:spacing w:before="160" w:line="276" w:lineRule="auto"/>
        <w:jc w:val="both"/>
        <w:rPr>
          <w:rFonts w:cs="Times New Roman"/>
        </w:rPr>
      </w:pPr>
      <w:r>
        <w:rPr>
          <w:rFonts w:cs="Times New Roman"/>
        </w:rPr>
        <w:t>Ce certificat doit détailler et attester :</w:t>
      </w:r>
    </w:p>
    <w:p w:rsidR="00D90D25" w:rsidRDefault="00D90D25">
      <w:pPr>
        <w:spacing w:before="160" w:line="276" w:lineRule="auto"/>
        <w:jc w:val="both"/>
        <w:rPr>
          <w:rFonts w:cs="Times New Roman"/>
        </w:rPr>
      </w:pPr>
      <w:r>
        <w:rPr>
          <w:rFonts w:cs="Times New Roman"/>
        </w:rPr>
        <w:t>-de la maladie, du handicap ou de l’accident de l’enfant présentant le caractère d’une particulière gravité,</w:t>
      </w:r>
    </w:p>
    <w:p w:rsidR="00D90D25" w:rsidRDefault="00D90D25">
      <w:pPr>
        <w:spacing w:before="160" w:line="276" w:lineRule="auto"/>
        <w:jc w:val="both"/>
        <w:rPr>
          <w:rFonts w:cs="Times New Roman"/>
        </w:rPr>
      </w:pPr>
      <w:r>
        <w:rPr>
          <w:rFonts w:cs="Times New Roman"/>
        </w:rPr>
        <w:t>-du caractère particulièrement grave de la pathologie considérée qui rend indispensables une présence soutenue des parents et des soins contraignants.</w:t>
      </w:r>
    </w:p>
    <w:p w:rsidR="00D90D25" w:rsidRDefault="00D90D25">
      <w:pPr>
        <w:spacing w:before="160" w:line="276" w:lineRule="auto"/>
        <w:jc w:val="both"/>
        <w:rPr>
          <w:rFonts w:cs="Times New Roman"/>
        </w:rPr>
      </w:pPr>
      <w:r>
        <w:rPr>
          <w:rFonts w:cs="Times New Roman"/>
        </w:rPr>
        <w:t xml:space="preserve">Ces </w:t>
      </w:r>
      <w:r>
        <w:rPr>
          <w:rFonts w:cs="Times New Roman"/>
          <w:b/>
        </w:rPr>
        <w:t>conditions cumulatives excluent les épisodes aigus mais bénins</w:t>
      </w:r>
      <w:r>
        <w:rPr>
          <w:rFonts w:cs="Times New Roman"/>
        </w:rPr>
        <w:t xml:space="preserve"> (bronchiolites, fractures sans complication par exemples) de ce dispositif. </w:t>
      </w:r>
    </w:p>
    <w:p w:rsidR="00D90D25" w:rsidRDefault="00D90D25">
      <w:pPr>
        <w:spacing w:before="160" w:line="276" w:lineRule="auto"/>
        <w:jc w:val="both"/>
        <w:rPr>
          <w:caps/>
        </w:rPr>
      </w:pPr>
      <w:r>
        <w:rPr>
          <w:rFonts w:cs="Times New Roman"/>
        </w:rPr>
        <w:t xml:space="preserve">Enfin, le certificat doit également indiquer la </w:t>
      </w:r>
      <w:r>
        <w:rPr>
          <w:rFonts w:cs="Times New Roman"/>
          <w:b/>
        </w:rPr>
        <w:t>durée prévisible du traitement de l’enfant</w:t>
      </w:r>
      <w:r>
        <w:rPr>
          <w:rFonts w:cs="Times New Roman"/>
        </w:rPr>
        <w:t xml:space="preserve"> et, le cas échéant, les modalités de fractionnement des jours de présence des parents.</w:t>
      </w:r>
    </w:p>
    <w:p w:rsidR="00D90D25" w:rsidRDefault="00D90D25"/>
    <w:sectPr w:rsidR="00D90D25">
      <w:footerReference w:type="default" r:id="rId8"/>
      <w:footerReference w:type="first" r:id="rId9"/>
      <w:pgSz w:w="11906" w:h="16838"/>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8ED" w:rsidRDefault="002C28ED">
      <w:r>
        <w:separator/>
      </w:r>
    </w:p>
  </w:endnote>
  <w:endnote w:type="continuationSeparator" w:id="0">
    <w:p w:rsidR="002C28ED" w:rsidRDefault="002C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D25" w:rsidRDefault="00D90D2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D25" w:rsidRDefault="00D90D25">
    <w:pPr>
      <w:pStyle w:val="Pieddepage"/>
    </w:pPr>
    <w:r>
      <w:rPr>
        <w:i/>
        <w:sz w:val="20"/>
        <w:szCs w:val="20"/>
      </w:rPr>
      <w:t>Fait en 2 exemplaires : ce document doit être versé au dossier administratif et une copie doit être délivrée à l’agent</w:t>
    </w:r>
    <w:r>
      <w:rPr>
        <w:i/>
      </w:rPr>
      <w:t>.</w:t>
    </w:r>
  </w:p>
  <w:p w:rsidR="00D90D25" w:rsidRDefault="00D90D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8ED" w:rsidRDefault="002C28ED">
      <w:r>
        <w:separator/>
      </w:r>
    </w:p>
  </w:footnote>
  <w:footnote w:type="continuationSeparator" w:id="0">
    <w:p w:rsidR="002C28ED" w:rsidRDefault="002C2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094"/>
    <w:rsid w:val="002C28ED"/>
    <w:rsid w:val="003944BF"/>
    <w:rsid w:val="006B3C6A"/>
    <w:rsid w:val="007C2094"/>
    <w:rsid w:val="009E5D85"/>
    <w:rsid w:val="00AE13F6"/>
    <w:rsid w:val="00B03225"/>
    <w:rsid w:val="00C4174E"/>
    <w:rsid w:val="00D90D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59CFE21-340F-434A-BCD8-55D59775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zh-CN" w:bidi="hi-IN"/>
    </w:rPr>
  </w:style>
  <w:style w:type="paragraph" w:styleId="Titre2">
    <w:name w:val="heading 2"/>
    <w:basedOn w:val="Titre1"/>
    <w:next w:val="Corpsdetexte"/>
    <w:qFormat/>
    <w:pPr>
      <w:numPr>
        <w:ilvl w:val="1"/>
        <w:numId w:val="1"/>
      </w:numPr>
      <w:outlineLvl w:val="1"/>
    </w:pPr>
    <w:rPr>
      <w:rFonts w:ascii="Times New Roman" w:eastAsia="SimSun" w:hAnsi="Times New Roman"/>
      <w:b/>
      <w:bCs/>
      <w:sz w:val="36"/>
      <w:szCs w:val="3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Times New Roman" w:eastAsia="SimSu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Policepardfaut1">
    <w:name w:val="Police par défaut1"/>
  </w:style>
  <w:style w:type="character" w:styleId="Lienhypertexte">
    <w:name w:val="Hyperlink"/>
    <w:rPr>
      <w:color w:val="000080"/>
      <w:u w:val="single"/>
      <w:lang/>
    </w:rPr>
  </w:style>
  <w:style w:type="character" w:customStyle="1" w:styleId="En-tteCar">
    <w:name w:val="En-tête Car"/>
    <w:basedOn w:val="Policepardfaut1"/>
    <w:rPr>
      <w:rFonts w:eastAsia="SimSun" w:cs="Mangal"/>
      <w:kern w:val="1"/>
      <w:sz w:val="24"/>
      <w:szCs w:val="21"/>
      <w:lang w:bidi="hi-IN"/>
    </w:rPr>
  </w:style>
  <w:style w:type="character" w:customStyle="1" w:styleId="PieddepageCar">
    <w:name w:val="Pied de page Car"/>
    <w:basedOn w:val="Policepardfaut1"/>
    <w:rPr>
      <w:rFonts w:eastAsia="SimSun" w:cs="Mangal"/>
      <w:kern w:val="1"/>
      <w:sz w:val="24"/>
      <w:szCs w:val="21"/>
      <w:lang w:bidi="hi-IN"/>
    </w:rPr>
  </w:style>
  <w:style w:type="paragraph" w:customStyle="1" w:styleId="Titre20">
    <w:name w:val="Titre2"/>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itre1">
    <w:name w:val="Titre1"/>
    <w:basedOn w:val="Normal"/>
    <w:next w:val="Corpsdetexte"/>
    <w:pPr>
      <w:keepNext/>
      <w:spacing w:before="240" w:after="120"/>
    </w:pPr>
    <w:rPr>
      <w:rFonts w:ascii="Arial" w:eastAsia="Microsoft YaHei" w:hAnsi="Arial"/>
      <w:sz w:val="28"/>
      <w:szCs w:val="28"/>
    </w:rPr>
  </w:style>
  <w:style w:type="paragraph" w:customStyle="1" w:styleId="Lgende1">
    <w:name w:val="Légende1"/>
    <w:basedOn w:val="Normal"/>
    <w:pPr>
      <w:suppressLineNumbers/>
      <w:spacing w:before="120" w:after="120"/>
    </w:pPr>
    <w:rPr>
      <w:i/>
      <w:iCs/>
    </w:rPr>
  </w:style>
  <w:style w:type="paragraph" w:styleId="En-tte">
    <w:name w:val="header"/>
    <w:basedOn w:val="Normal"/>
    <w:pPr>
      <w:tabs>
        <w:tab w:val="center" w:pos="4536"/>
        <w:tab w:val="right" w:pos="9072"/>
      </w:tabs>
    </w:pPr>
    <w:rPr>
      <w:szCs w:val="21"/>
    </w:rPr>
  </w:style>
  <w:style w:type="paragraph" w:styleId="Pieddepage">
    <w:name w:val="footer"/>
    <w:basedOn w:val="Normal"/>
    <w:pPr>
      <w:tabs>
        <w:tab w:val="center" w:pos="4536"/>
        <w:tab w:val="right" w:pos="9072"/>
      </w:tabs>
    </w:pPr>
    <w:rPr>
      <w:szCs w:val="21"/>
    </w:rPr>
  </w:style>
  <w:style w:type="paragraph" w:customStyle="1" w:styleId="Contenudecadre">
    <w:name w:val="Contenu de cadre"/>
    <w:basedOn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rsid w:val="009E5D85"/>
    <w:rPr>
      <w:rFonts w:ascii="Tahoma" w:hAnsi="Tahoma"/>
      <w:sz w:val="16"/>
      <w:szCs w:val="14"/>
    </w:rPr>
  </w:style>
  <w:style w:type="character" w:customStyle="1" w:styleId="TextedebullesCar">
    <w:name w:val="Texte de bulles Car"/>
    <w:basedOn w:val="Policepardfaut"/>
    <w:link w:val="Textedebulles"/>
    <w:rsid w:val="009E5D85"/>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2803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DGGN</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AdminMI</dc:creator>
  <cp:keywords/>
  <cp:lastModifiedBy>COLLOMBE HAVEZ Mathieu</cp:lastModifiedBy>
  <cp:revision>3</cp:revision>
  <cp:lastPrinted>2016-01-25T16:08:00Z</cp:lastPrinted>
  <dcterms:created xsi:type="dcterms:W3CDTF">2020-12-11T08:39:00Z</dcterms:created>
  <dcterms:modified xsi:type="dcterms:W3CDTF">2020-12-11T08:39:00Z</dcterms:modified>
</cp:coreProperties>
</file>